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4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17797D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9B1A46">
              <w:rPr>
                <w:rFonts w:ascii="Cambria" w:eastAsia="Times New Roman" w:hAnsi="Cambria" w:cs="Tahoma"/>
                <w:sz w:val="24"/>
                <w:szCs w:val="24"/>
                <w:lang w:eastAsia="sl-SI"/>
              </w:rPr>
              <w:t xml:space="preserve">Na podlagi 9. člena </w:t>
            </w:r>
            <w:hyperlink r:id="rId6" w:history="1">
              <w:r w:rsidRPr="009B1A46">
                <w:rPr>
                  <w:rFonts w:ascii="Cambria" w:eastAsia="Times New Roman" w:hAnsi="Cambria" w:cs="Tahoma"/>
                  <w:sz w:val="24"/>
                  <w:szCs w:val="24"/>
                  <w:lang w:eastAsia="sl-SI"/>
                </w:rPr>
                <w:t>Zakona o financiranju občin</w:t>
              </w:r>
            </w:hyperlink>
            <w:r w:rsidRPr="009B1A46">
              <w:rPr>
                <w:rFonts w:ascii="Cambria" w:eastAsia="Times New Roman" w:hAnsi="Cambria" w:cs="Tahoma"/>
                <w:sz w:val="24"/>
                <w:szCs w:val="24"/>
                <w:lang w:eastAsia="sl-SI"/>
              </w:rPr>
              <w:t xml:space="preserve"> (Uradni list RS, št. 123/06, 57/08, 36/2011), 21. člena </w:t>
            </w:r>
            <w:hyperlink r:id="rId7" w:history="1">
              <w:r w:rsidRPr="009B1A46">
                <w:rPr>
                  <w:rFonts w:ascii="Cambria" w:eastAsia="Times New Roman" w:hAnsi="Cambria" w:cs="Tahoma"/>
                  <w:sz w:val="24"/>
                  <w:szCs w:val="24"/>
                  <w:lang w:eastAsia="sl-SI"/>
                </w:rPr>
                <w:t>Zakona o lokalni samoupravi</w:t>
              </w:r>
            </w:hyperlink>
            <w:r w:rsidRPr="009B1A46">
              <w:rPr>
                <w:rFonts w:ascii="Cambria" w:eastAsia="Times New Roman" w:hAnsi="Cambria" w:cs="Tahoma"/>
                <w:sz w:val="24"/>
                <w:szCs w:val="24"/>
                <w:lang w:eastAsia="sl-SI"/>
              </w:rPr>
              <w:t xml:space="preserve"> (Ur.l. RS št. 94/2007 – uradno prečiščeno besedilo ZLS-UPB2, 27/2008, 76/2008 in 100/2008), 17. člena </w:t>
            </w:r>
            <w:hyperlink r:id="rId8" w:history="1">
              <w:r w:rsidRPr="009B1A46">
                <w:rPr>
                  <w:rFonts w:ascii="Cambria" w:eastAsia="Times New Roman" w:hAnsi="Cambria" w:cs="Tahoma"/>
                  <w:sz w:val="24"/>
                  <w:szCs w:val="24"/>
                  <w:lang w:eastAsia="sl-SI"/>
                </w:rPr>
                <w:t>Zakona o prekrških</w:t>
              </w:r>
            </w:hyperlink>
            <w:r w:rsidRPr="009B1A46">
              <w:rPr>
                <w:rFonts w:ascii="Cambria" w:eastAsia="Times New Roman" w:hAnsi="Cambria" w:cs="Tahoma"/>
                <w:sz w:val="24"/>
                <w:szCs w:val="24"/>
                <w:lang w:eastAsia="sl-SI"/>
              </w:rPr>
              <w:t xml:space="preserve"> (Ur.l. RS, št. 3/2007 – uradno prečiščeno besedilo, ZP -1-UPB4, 17/2008, 21/2008, 21/2013) in </w:t>
            </w:r>
            <w:r w:rsidRPr="009B1A46">
              <w:rPr>
                <w:rFonts w:ascii="Cambria" w:hAnsi="Cambria" w:cs="Helvetica"/>
                <w:sz w:val="24"/>
                <w:szCs w:val="24"/>
              </w:rPr>
              <w:t>19. člena Statuta Ob</w:t>
            </w:r>
            <w:r w:rsidRPr="009B1A46">
              <w:rPr>
                <w:rFonts w:ascii="Cambria" w:hAnsi="Cambria" w:cs="TTE18A1838t00"/>
                <w:sz w:val="24"/>
                <w:szCs w:val="24"/>
              </w:rPr>
              <w:t>č</w:t>
            </w:r>
            <w:r w:rsidRPr="009B1A46">
              <w:rPr>
                <w:rFonts w:ascii="Cambria" w:hAnsi="Cambria" w:cs="Helvetica"/>
                <w:sz w:val="24"/>
                <w:szCs w:val="24"/>
              </w:rPr>
              <w:t xml:space="preserve">ine Mokronog-Trebelno </w:t>
            </w:r>
            <w:r w:rsidRPr="009B1A46">
              <w:rPr>
                <w:rFonts w:ascii="Cambria" w:hAnsi="Cambria"/>
                <w:sz w:val="24"/>
                <w:szCs w:val="24"/>
              </w:rPr>
              <w:t xml:space="preserve">(Uradni list RS, št. 66/10-UPB) je Občinski svet Občine Mokronog-Trebelno na </w:t>
            </w:r>
            <w:r>
              <w:rPr>
                <w:rFonts w:ascii="Cambria" w:hAnsi="Cambria"/>
                <w:sz w:val="24"/>
                <w:szCs w:val="24"/>
              </w:rPr>
              <w:t>18.</w:t>
            </w:r>
            <w:r w:rsidRPr="009B1A46">
              <w:rPr>
                <w:rFonts w:ascii="Cambria" w:hAnsi="Cambria"/>
                <w:sz w:val="24"/>
                <w:szCs w:val="24"/>
              </w:rPr>
              <w:t xml:space="preserve"> seji, dne </w:t>
            </w:r>
            <w:r>
              <w:rPr>
                <w:rFonts w:ascii="Cambria" w:hAnsi="Cambria"/>
                <w:sz w:val="24"/>
                <w:szCs w:val="24"/>
              </w:rPr>
              <w:t>23.10.2013</w:t>
            </w:r>
            <w:r w:rsidRPr="009B1A46">
              <w:rPr>
                <w:rFonts w:ascii="Cambria" w:hAnsi="Cambria"/>
                <w:sz w:val="24"/>
                <w:szCs w:val="24"/>
              </w:rPr>
              <w:t xml:space="preserve"> sprejel </w:t>
            </w: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B93ED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  <w:t>O D L O K</w:t>
            </w: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B93ED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  <w:t xml:space="preserve">o spremembah in dopolnitvah Odloka o občinskih taksah </w:t>
            </w:r>
          </w:p>
          <w:p w:rsidR="0017797D" w:rsidRPr="009B1A46" w:rsidRDefault="0017797D" w:rsidP="00B93ED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  <w:t>v Občini Mokronog-Trebelno</w:t>
            </w:r>
          </w:p>
          <w:p w:rsidR="0017797D" w:rsidRPr="009B1A46" w:rsidRDefault="0017797D" w:rsidP="00B93ED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17797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 w:cs="Tahoma"/>
                <w:bCs/>
                <w:sz w:val="24"/>
                <w:szCs w:val="24"/>
                <w:lang w:eastAsia="sl-SI"/>
              </w:rPr>
              <w:t>člen</w:t>
            </w:r>
          </w:p>
          <w:p w:rsidR="0017797D" w:rsidRPr="009B1A46" w:rsidRDefault="0017797D" w:rsidP="00B93ED7">
            <w:pPr>
              <w:pStyle w:val="Odstavekseznama"/>
              <w:spacing w:after="0" w:line="240" w:lineRule="auto"/>
              <w:ind w:left="1440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B93ED7">
            <w:pPr>
              <w:rPr>
                <w:rFonts w:ascii="Cambria" w:hAnsi="Cambria" w:cs="Tahoma"/>
                <w:sz w:val="24"/>
                <w:szCs w:val="24"/>
              </w:rPr>
            </w:pPr>
            <w:r w:rsidRPr="009B1A46">
              <w:rPr>
                <w:rFonts w:ascii="Cambria" w:hAnsi="Cambria" w:cs="Tahoma"/>
                <w:sz w:val="24"/>
                <w:szCs w:val="24"/>
              </w:rPr>
              <w:t xml:space="preserve">V tarifnem delu Odloka o občinskih taksah v Občini Mokronog -Trebelno (Uradni list RS, št. 57/2013) se spremeni tarifna številka 1, tako, da se glasi: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142"/>
              <w:gridCol w:w="4731"/>
              <w:gridCol w:w="2948"/>
            </w:tblGrid>
            <w:tr w:rsidR="0017797D" w:rsidTr="00B93ED7">
              <w:tc>
                <w:tcPr>
                  <w:tcW w:w="8842" w:type="dxa"/>
                  <w:gridSpan w:val="4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 xml:space="preserve">Tarifna št. 1: </w:t>
                  </w:r>
                </w:p>
                <w:p w:rsidR="0017797D" w:rsidRPr="009B1A46" w:rsidRDefault="0017797D" w:rsidP="0017797D">
                  <w:pPr>
                    <w:pStyle w:val="Odstavekseznam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Uporaba javnih površin za prirejanje razstav, zabavnih in drugih prireditev (npr. cirkusi, prireditve s profitnim namenom ipd.)</w:t>
                  </w:r>
                </w:p>
              </w:tc>
            </w:tr>
            <w:tr w:rsidR="0017797D" w:rsidTr="00B93ED7">
              <w:tc>
                <w:tcPr>
                  <w:tcW w:w="116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Zap</w:t>
                  </w:r>
                  <w:proofErr w:type="spellEnd"/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.št.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Opis tarife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Št. točk</w:t>
                  </w:r>
                </w:p>
              </w:tc>
            </w:tr>
            <w:tr w:rsidR="0017797D" w:rsidTr="00B93ED7">
              <w:tc>
                <w:tcPr>
                  <w:tcW w:w="116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1.1.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Asfaltirane, betonske, tlakovane površine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10</w:t>
                  </w:r>
                </w:p>
              </w:tc>
            </w:tr>
            <w:tr w:rsidR="0017797D" w:rsidTr="00B93ED7">
              <w:tc>
                <w:tcPr>
                  <w:tcW w:w="116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1.2.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Ostale vzdrževane površine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5</w:t>
                  </w:r>
                </w:p>
              </w:tc>
            </w:tr>
            <w:tr w:rsidR="0017797D" w:rsidTr="00B93ED7">
              <w:tc>
                <w:tcPr>
                  <w:tcW w:w="8842" w:type="dxa"/>
                  <w:gridSpan w:val="4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Opomba 1:</w:t>
                  </w: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Dnevna taksa se odmeri za vsak začeti m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vertAlign w:val="superscript"/>
                      <w:lang w:eastAsia="sl-SI"/>
                    </w:rPr>
                    <w:t>2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Opomba 2: Za javno površino po tej tarifi štejejo ceste, pločniki, ulice, trgi, tržnice, igrišča, parkirišča, parki, pokopališča, zelenice, rekreacijske površine in druge urejene ali neurejene javne površine na območju Občine </w:t>
                  </w:r>
                  <w:r w:rsidRPr="009B1A46">
                    <w:rPr>
                      <w:rFonts w:ascii="Cambria" w:hAnsi="Cambria" w:cs="Helvetica"/>
                      <w:sz w:val="24"/>
                      <w:szCs w:val="24"/>
                    </w:rPr>
                    <w:t>Mokronog-Trebelno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, ki so v lasti oziroma je imetnik njihove pravice uporabe Občina </w:t>
                  </w:r>
                  <w:r w:rsidRPr="009B1A46">
                    <w:rPr>
                      <w:rFonts w:ascii="Cambria" w:hAnsi="Cambria" w:cs="Helvetica"/>
                      <w:sz w:val="24"/>
                      <w:szCs w:val="24"/>
                    </w:rPr>
                    <w:t>Mokronog-Trebelno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Opomba 3: Taksni zavezanec je uporabnik javnih površin oziroma javnega prostora za prirejanje razstav, zabavnih in drugih prireditev.</w:t>
                  </w:r>
                </w:p>
              </w:tc>
            </w:tr>
            <w:tr w:rsidR="0017797D" w:rsidTr="00B93ED7">
              <w:tc>
                <w:tcPr>
                  <w:tcW w:w="8842" w:type="dxa"/>
                  <w:gridSpan w:val="4"/>
                  <w:shd w:val="clear" w:color="auto" w:fill="auto"/>
                </w:tcPr>
                <w:p w:rsidR="0017797D" w:rsidRPr="009B1A46" w:rsidRDefault="0017797D" w:rsidP="0017797D">
                  <w:pPr>
                    <w:pStyle w:val="Odstavekseznam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Sejemska dejavnost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Zap</w:t>
                  </w:r>
                  <w:proofErr w:type="spellEnd"/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.št.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Zasedenost v tekočih metrih (m)</w:t>
                  </w:r>
                </w:p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>Št. točk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2.1.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Stojnica dolžina 2 m s stojiščem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60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2.2.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Stojnica dolžina 3 m s stojiščem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64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2.3.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Stojnica dolžina 5 m s stojiščem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48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2.4.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Stojnica dolžina 7 m s stojiščem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43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lastRenderedPageBreak/>
                    <w:t>2.5.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Stojnica dolžina 10 m s stojiščem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36</w:t>
                  </w:r>
                </w:p>
              </w:tc>
            </w:tr>
            <w:tr w:rsidR="0017797D" w:rsidTr="00B93ED7">
              <w:tc>
                <w:tcPr>
                  <w:tcW w:w="1021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2.6.</w:t>
                  </w:r>
                </w:p>
              </w:tc>
              <w:tc>
                <w:tcPr>
                  <w:tcW w:w="4873" w:type="dxa"/>
                  <w:gridSpan w:val="2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Stojnica dolžina 12 m s stojiščem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35</w:t>
                  </w:r>
                </w:p>
              </w:tc>
            </w:tr>
            <w:tr w:rsidR="0017797D" w:rsidTr="00B93ED7">
              <w:tc>
                <w:tcPr>
                  <w:tcW w:w="8842" w:type="dxa"/>
                  <w:gridSpan w:val="4"/>
                  <w:shd w:val="clear" w:color="auto" w:fill="auto"/>
                </w:tcPr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Opomba 1:</w:t>
                  </w:r>
                  <w:r w:rsidRPr="009B1A46">
                    <w:rPr>
                      <w:rFonts w:ascii="Cambria" w:eastAsia="Times New Roman" w:hAnsi="Cambria" w:cs="Tahoma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Občinska taksa se odmeri tako, da se pomnoži vrednost točke, število točk in dolžina zasedenosti v tekočem metru, navedena pod zaporedno točko 2 (torej 2 m, 3 m, 5 m, 7 m, 10 m in 12 m).</w:t>
                  </w:r>
                </w:p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Opomba 2: Pri odmeri občinske takse se upošteva tudi št. dni zasedenosti javne površine (odmerjena taksa se pomnoži s št. dni dejanske zasedenosti javne površine).</w:t>
                  </w:r>
                </w:p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Opomba 3: Za javno površino po tej tarifi štejejo ceste, pločniki, ulice, trgi, tržnice, igrišča, parkirišča, parki, pokopališča, zelenice, rekreacijske površine in druge urejene ali neurejene javne površine na območju Občine </w:t>
                  </w:r>
                  <w:r w:rsidRPr="009B1A46">
                    <w:rPr>
                      <w:rFonts w:ascii="Cambria" w:hAnsi="Cambria" w:cs="Helvetica"/>
                      <w:sz w:val="24"/>
                      <w:szCs w:val="24"/>
                    </w:rPr>
                    <w:t>Mokronog-Trebelno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, ki so v lasti oziroma je imetnik njihove pravice uporabe Občina </w:t>
                  </w:r>
                  <w:r w:rsidRPr="009B1A46">
                    <w:rPr>
                      <w:rFonts w:ascii="Cambria" w:hAnsi="Cambria" w:cs="Helvetica"/>
                      <w:sz w:val="24"/>
                      <w:szCs w:val="24"/>
                    </w:rPr>
                    <w:t>Mokronog-Trebelno</w:t>
                  </w: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17797D" w:rsidRPr="009B1A46" w:rsidRDefault="0017797D" w:rsidP="00B93ED7">
                  <w:pPr>
                    <w:jc w:val="both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  <w:r w:rsidRPr="009B1A46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>Opomba 4: Taksni zavezanec je uporabnik javnih površin oziroma javnega prostora za prirejanje razstav, zabavnih in drugih prireditev.</w:t>
                  </w:r>
                </w:p>
              </w:tc>
            </w:tr>
          </w:tbl>
          <w:p w:rsidR="0017797D" w:rsidRPr="009B1A46" w:rsidRDefault="0017797D" w:rsidP="00B93ED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B93ED7">
            <w:pPr>
              <w:spacing w:after="0" w:line="240" w:lineRule="auto"/>
              <w:rPr>
                <w:rFonts w:ascii="Cambria" w:eastAsia="Times New Roman" w:hAnsi="Cambria" w:cs="Tahoma"/>
                <w:bCs/>
                <w:sz w:val="24"/>
                <w:szCs w:val="24"/>
                <w:lang w:eastAsia="sl-SI"/>
              </w:rPr>
            </w:pPr>
          </w:p>
          <w:p w:rsidR="0017797D" w:rsidRPr="009B1A46" w:rsidRDefault="0017797D" w:rsidP="00B93ED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 w:cs="Tahoma"/>
                <w:bCs/>
                <w:sz w:val="24"/>
                <w:szCs w:val="24"/>
                <w:lang w:eastAsia="sl-SI"/>
              </w:rPr>
              <w:t>2. člen</w:t>
            </w: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7D" w:rsidRPr="009B1A46" w:rsidRDefault="0017797D" w:rsidP="00B93ED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</w:p>
          <w:p w:rsidR="0017797D" w:rsidRPr="009B1A46" w:rsidRDefault="0017797D" w:rsidP="00B93ED7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hAnsi="Cambria" w:cs="Tahoma"/>
                <w:sz w:val="24"/>
                <w:szCs w:val="24"/>
              </w:rPr>
              <w:t>Ta odlok začne veljati petnajsti dan po objavi v Uradnem listu Republike Slovenije.</w:t>
            </w:r>
            <w:r w:rsidRPr="002724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7D" w:rsidRPr="009B1A46" w:rsidRDefault="0017797D" w:rsidP="00B93ED7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</w:p>
          <w:p w:rsidR="0017797D" w:rsidRPr="009B1A46" w:rsidRDefault="0017797D" w:rsidP="00B93ED7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/>
                <w:sz w:val="24"/>
                <w:szCs w:val="24"/>
                <w:lang w:eastAsia="sl-SI"/>
              </w:rPr>
              <w:t>Št.</w:t>
            </w:r>
            <w:r>
              <w:rPr>
                <w:rFonts w:ascii="Cambria" w:eastAsia="Times New Roman" w:hAnsi="Cambria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mbria" w:hAnsi="Cambria" w:cs="Helvetica"/>
                <w:color w:val="000000"/>
                <w:sz w:val="24"/>
                <w:szCs w:val="24"/>
              </w:rPr>
              <w:t>007-004/2013</w:t>
            </w:r>
          </w:p>
          <w:p w:rsidR="0017797D" w:rsidRPr="009B1A46" w:rsidRDefault="0017797D" w:rsidP="0017797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/>
                <w:sz w:val="24"/>
                <w:szCs w:val="24"/>
                <w:lang w:eastAsia="sl-SI"/>
              </w:rPr>
              <w:t>Mokronog, dne</w:t>
            </w:r>
            <w:r>
              <w:rPr>
                <w:rFonts w:ascii="Cambria" w:eastAsia="Times New Roman" w:hAnsi="Cambria"/>
                <w:sz w:val="24"/>
                <w:szCs w:val="24"/>
                <w:lang w:eastAsia="sl-SI"/>
              </w:rPr>
              <w:t xml:space="preserve"> 23.10.2013</w:t>
            </w:r>
          </w:p>
        </w:tc>
      </w:tr>
      <w:tr w:rsidR="0017797D" w:rsidRPr="002724AA" w:rsidTr="00B93ED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7D" w:rsidRPr="009B1A46" w:rsidRDefault="0017797D" w:rsidP="001779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ž</w:t>
            </w:r>
            <w:r w:rsidRPr="009B1A46">
              <w:rPr>
                <w:rFonts w:ascii="Cambria" w:eastAsia="Times New Roman" w:hAnsi="Cambria"/>
                <w:sz w:val="24"/>
                <w:szCs w:val="24"/>
                <w:lang w:eastAsia="sl-SI"/>
              </w:rPr>
              <w:t>upan</w:t>
            </w:r>
          </w:p>
          <w:p w:rsidR="0017797D" w:rsidRPr="009B1A46" w:rsidRDefault="0017797D" w:rsidP="00B93ED7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/>
                <w:sz w:val="24"/>
                <w:szCs w:val="24"/>
                <w:lang w:eastAsia="sl-SI"/>
              </w:rPr>
              <w:t>Občine Mokronog-Trebelno</w:t>
            </w:r>
          </w:p>
          <w:p w:rsidR="0017797D" w:rsidRPr="009B1A46" w:rsidRDefault="0017797D" w:rsidP="00B93ED7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  <w:r w:rsidRPr="009B1A46">
              <w:rPr>
                <w:rFonts w:ascii="Cambria" w:eastAsia="Times New Roman" w:hAnsi="Cambria"/>
                <w:sz w:val="24"/>
                <w:szCs w:val="24"/>
                <w:lang w:eastAsia="sl-SI"/>
              </w:rPr>
              <w:t>Anton MAVER, l.r.</w:t>
            </w:r>
          </w:p>
          <w:p w:rsidR="0017797D" w:rsidRPr="009B1A46" w:rsidRDefault="0017797D" w:rsidP="00B93ED7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sl-SI"/>
              </w:rPr>
            </w:pPr>
          </w:p>
        </w:tc>
      </w:tr>
    </w:tbl>
    <w:p w:rsidR="005D622F" w:rsidRDefault="005D622F"/>
    <w:sectPr w:rsidR="005D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A18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2D6"/>
    <w:multiLevelType w:val="hybridMultilevel"/>
    <w:tmpl w:val="642A2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D0D2F"/>
    <w:multiLevelType w:val="hybridMultilevel"/>
    <w:tmpl w:val="1568A712"/>
    <w:lvl w:ilvl="0" w:tplc="84C4B23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7D"/>
    <w:rsid w:val="0017797D"/>
    <w:rsid w:val="005D622F"/>
    <w:rsid w:val="00D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79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79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p_rD=r00&amp;p_predpis=ZAKO5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srs.si/predpis.aspx?p_rD=r07&amp;p_predpis=ZAKO5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redpis.aspx?p_rD=r05&amp;p_predpis=ZAKO46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2017-10-05T21:09:00Z</dcterms:created>
  <dcterms:modified xsi:type="dcterms:W3CDTF">2017-10-05T21:09:00Z</dcterms:modified>
</cp:coreProperties>
</file>